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32" w:rsidRDefault="004128AB">
      <w:pPr>
        <w:pStyle w:val="Heading1"/>
        <w:spacing w:before="36" w:line="289" w:lineRule="exact"/>
        <w:ind w:left="0" w:right="7"/>
        <w:jc w:val="center"/>
        <w:rPr>
          <w:b w:val="0"/>
          <w:bCs w:val="0"/>
        </w:rPr>
      </w:pPr>
      <w:bookmarkStart w:id="0" w:name="_GoBack"/>
      <w:bookmarkEnd w:id="0"/>
      <w:r>
        <w:pict>
          <v:group id="_x0000_s1026" style="position:absolute;left:0;text-align:left;margin-left:-.4pt;margin-top:-.4pt;width:.75pt;height:.75pt;z-index:-251656192;mso-position-horizontal-relative:page;mso-position-vertical-relative:page" coordorigin="-8,-8" coordsize="15,15">
            <v:group id="_x0000_s1029" style="position:absolute;width:2;height:2" coordsize="2,2">
              <v:shape id="_x0000_s1030" style="position:absolute;width:2;height:2" coordsize="0,0" path="m,l,xe" fillcolor="black" stroked="f">
                <v:path arrowok="t"/>
              </v:shape>
            </v:group>
            <v:group id="_x0000_s1027" style="position:absolute;width:2;height:2" coordsize="2,2">
              <v:shape id="_x0000_s1028" style="position:absolute;width:2;height:2" coordsize="0,0" path="m,l,xe" fillcolor="black" stroked="f">
                <v:path arrowok="t"/>
              </v:shape>
            </v:group>
            <w10:wrap anchorx="page" anchory="page"/>
          </v:group>
        </w:pict>
      </w:r>
      <w:r>
        <w:t>Karapatan ng Nangungupahan na Bumuo ng Hindi CRLTO na mga Gusali</w:t>
      </w:r>
    </w:p>
    <w:p w:rsidR="007E7E32" w:rsidRDefault="004128AB">
      <w:pPr>
        <w:pStyle w:val="BodyText"/>
        <w:spacing w:before="2" w:line="233" w:lineRule="auto"/>
        <w:ind w:left="3370" w:right="3373" w:firstLine="0"/>
        <w:jc w:val="center"/>
      </w:pPr>
      <w:r>
        <w:t>Sentro ng Batas ng mga Mamamayan ng Uptown Na-update Marso 2020</w:t>
      </w:r>
    </w:p>
    <w:p w:rsidR="007E7E32" w:rsidRDefault="007E7E32">
      <w:pPr>
        <w:spacing w:line="240" w:lineRule="exact"/>
        <w:rPr>
          <w:sz w:val="24"/>
          <w:szCs w:val="24"/>
        </w:rPr>
      </w:pPr>
    </w:p>
    <w:p w:rsidR="007E7E32" w:rsidRDefault="007E7E32">
      <w:pPr>
        <w:spacing w:before="4" w:line="320" w:lineRule="exact"/>
        <w:rPr>
          <w:sz w:val="32"/>
          <w:szCs w:val="32"/>
        </w:rPr>
      </w:pPr>
    </w:p>
    <w:p w:rsidR="007E7E32" w:rsidRDefault="004128AB">
      <w:pPr>
        <w:pStyle w:val="Heading1"/>
        <w:rPr>
          <w:b w:val="0"/>
          <w:bCs w:val="0"/>
        </w:rPr>
      </w:pPr>
      <w:r>
        <w:t>Mga uri ng pabahay na hindi sakop ng CRLTO:</w:t>
      </w:r>
    </w:p>
    <w:p w:rsidR="007E7E32" w:rsidRDefault="004128AB">
      <w:pPr>
        <w:pStyle w:val="BodyText"/>
        <w:numPr>
          <w:ilvl w:val="0"/>
          <w:numId w:val="1"/>
        </w:numPr>
        <w:tabs>
          <w:tab w:val="left" w:pos="820"/>
        </w:tabs>
      </w:pPr>
      <w:r>
        <w:t>Mga gusaling may 6 o mas kaunting mga yunit na okupado ng may-ari</w:t>
      </w:r>
    </w:p>
    <w:p w:rsidR="007E7E32" w:rsidRDefault="004128AB">
      <w:pPr>
        <w:pStyle w:val="BodyText"/>
        <w:numPr>
          <w:ilvl w:val="0"/>
          <w:numId w:val="1"/>
        </w:numPr>
        <w:tabs>
          <w:tab w:val="left" w:pos="820"/>
        </w:tabs>
      </w:pPr>
      <w:r>
        <w:t>Pabahay ng kooperatiba</w:t>
      </w:r>
    </w:p>
    <w:p w:rsidR="007E7E32" w:rsidRDefault="004128AB">
      <w:pPr>
        <w:pStyle w:val="BodyText"/>
        <w:numPr>
          <w:ilvl w:val="0"/>
          <w:numId w:val="1"/>
        </w:numPr>
        <w:tabs>
          <w:tab w:val="left" w:pos="820"/>
        </w:tabs>
      </w:pPr>
      <w:r>
        <w:t>Mga pansamantala at paglilipatang mga silungan</w:t>
      </w:r>
    </w:p>
    <w:p w:rsidR="007E7E32" w:rsidRDefault="004128AB">
      <w:pPr>
        <w:pStyle w:val="BodyText"/>
        <w:numPr>
          <w:ilvl w:val="0"/>
          <w:numId w:val="1"/>
        </w:numPr>
        <w:tabs>
          <w:tab w:val="left" w:pos="820"/>
        </w:tabs>
      </w:pPr>
      <w:r>
        <w:t>Pabahay ng karamihan sa mga mag-aaral</w:t>
      </w:r>
    </w:p>
    <w:p w:rsidR="007E7E32" w:rsidRDefault="004128AB">
      <w:pPr>
        <w:pStyle w:val="BodyText"/>
        <w:numPr>
          <w:ilvl w:val="0"/>
          <w:numId w:val="1"/>
        </w:numPr>
        <w:tabs>
          <w:tab w:val="left" w:pos="820"/>
        </w:tabs>
      </w:pPr>
      <w:r>
        <w:t>Pabahay sa pangangalagang pangkalusugan (hal. mga ospital, mga asylum, mga pasilidad ng pag-aalaga pinalawig na pangangalaga, atbp.)</w:t>
      </w:r>
    </w:p>
    <w:p w:rsidR="007E7E32" w:rsidRDefault="004128AB">
      <w:pPr>
        <w:pStyle w:val="BodyText"/>
        <w:numPr>
          <w:ilvl w:val="0"/>
          <w:numId w:val="1"/>
        </w:numPr>
        <w:tabs>
          <w:tab w:val="left" w:pos="820"/>
        </w:tabs>
      </w:pPr>
      <w:r>
        <w:t>Ilang mga uri n</w:t>
      </w:r>
      <w:r>
        <w:t>g pabahay ng pang-relihiyon (hal. mga monasteryo at kumbento)</w:t>
      </w:r>
    </w:p>
    <w:p w:rsidR="007E7E32" w:rsidRDefault="004128AB">
      <w:pPr>
        <w:pStyle w:val="BodyText"/>
        <w:numPr>
          <w:ilvl w:val="0"/>
          <w:numId w:val="1"/>
        </w:numPr>
        <w:tabs>
          <w:tab w:val="left" w:pos="820"/>
        </w:tabs>
      </w:pPr>
      <w:r>
        <w:t>Pansamantalang pabahay na nakabase sa paglalakbay (hal. sa mga hotel, motel, inn) (nalalapat ang mga eksepsiyon)</w:t>
      </w:r>
    </w:p>
    <w:p w:rsidR="007E7E32" w:rsidRDefault="004128AB">
      <w:pPr>
        <w:pStyle w:val="BodyText"/>
        <w:numPr>
          <w:ilvl w:val="0"/>
          <w:numId w:val="1"/>
        </w:numPr>
        <w:tabs>
          <w:tab w:val="left" w:pos="820"/>
        </w:tabs>
      </w:pPr>
      <w:r>
        <w:t>Mga yunit na inookupahan ng isang empleyado ng may-ari na nagtatrabaho sa gusali</w:t>
      </w:r>
    </w:p>
    <w:p w:rsidR="007E7E32" w:rsidRDefault="004128AB">
      <w:pPr>
        <w:pStyle w:val="BodyText"/>
        <w:numPr>
          <w:ilvl w:val="0"/>
          <w:numId w:val="1"/>
        </w:numPr>
        <w:tabs>
          <w:tab w:val="left" w:pos="820"/>
        </w:tabs>
      </w:pPr>
      <w:r>
        <w:t>Mga yunit kung saan lumilipat ang isang mamimili bago kasulatan sa paglipat</w:t>
      </w:r>
    </w:p>
    <w:p w:rsidR="007E7E32" w:rsidRDefault="004128AB">
      <w:pPr>
        <w:pStyle w:val="BodyText"/>
        <w:numPr>
          <w:ilvl w:val="0"/>
          <w:numId w:val="1"/>
        </w:numPr>
        <w:tabs>
          <w:tab w:val="left" w:pos="820"/>
        </w:tabs>
      </w:pPr>
      <w:r>
        <w:t>Mga yunit kung saan mananatili ang nagtitinda nang sandali pa pagkatapos ang kasulatan sa paglipat</w:t>
      </w:r>
    </w:p>
    <w:p w:rsidR="007E7E32" w:rsidRDefault="007E7E32">
      <w:pPr>
        <w:spacing w:line="240" w:lineRule="exact"/>
        <w:rPr>
          <w:sz w:val="24"/>
          <w:szCs w:val="24"/>
        </w:rPr>
      </w:pPr>
    </w:p>
    <w:p w:rsidR="007E7E32" w:rsidRDefault="007E7E32">
      <w:pPr>
        <w:spacing w:before="2" w:line="320" w:lineRule="exact"/>
        <w:rPr>
          <w:sz w:val="32"/>
          <w:szCs w:val="32"/>
        </w:rPr>
      </w:pPr>
    </w:p>
    <w:p w:rsidR="007E7E32" w:rsidRDefault="004128AB">
      <w:pPr>
        <w:pStyle w:val="Heading1"/>
        <w:rPr>
          <w:b w:val="0"/>
          <w:bCs w:val="0"/>
        </w:rPr>
      </w:pPr>
      <w:r>
        <w:t>Ang mga proteksyon sa paghihiganti ay mas mahina para sa pabahay na hindi CRLTO</w:t>
      </w:r>
    </w:p>
    <w:p w:rsidR="007E7E32" w:rsidRDefault="004128AB">
      <w:pPr>
        <w:pStyle w:val="BodyText"/>
        <w:numPr>
          <w:ilvl w:val="0"/>
          <w:numId w:val="1"/>
        </w:numPr>
        <w:tabs>
          <w:tab w:val="left" w:pos="820"/>
        </w:tabs>
      </w:pPr>
      <w:hyperlink r:id="rId7">
        <w:r>
          <w:rPr>
            <w:color w:val="1154CC"/>
            <w:u w:val="single" w:color="1154CC"/>
          </w:rPr>
          <w:t>Tingnan dito para sa isang detalyadong paghahambing.</w:t>
        </w:r>
      </w:hyperlink>
    </w:p>
    <w:p w:rsidR="007E7E32" w:rsidRDefault="004128AB">
      <w:pPr>
        <w:pStyle w:val="BodyText"/>
        <w:numPr>
          <w:ilvl w:val="0"/>
          <w:numId w:val="1"/>
        </w:numPr>
        <w:tabs>
          <w:tab w:val="left" w:pos="820"/>
        </w:tabs>
      </w:pPr>
      <w:r>
        <w:t>Nalalapat lamang ang proteksyon kapag winakasan o ayaw i-renew ng mga may-ari ang isan</w:t>
      </w:r>
      <w:r>
        <w:t>g pag-upa.</w:t>
      </w:r>
    </w:p>
    <w:p w:rsidR="007E7E32" w:rsidRDefault="004128AB">
      <w:pPr>
        <w:pStyle w:val="BodyText"/>
        <w:numPr>
          <w:ilvl w:val="0"/>
          <w:numId w:val="1"/>
        </w:numPr>
        <w:tabs>
          <w:tab w:val="left" w:pos="820"/>
        </w:tabs>
      </w:pPr>
      <w:r>
        <w:t>Nalalapat lamang kapag nagrereklamo ang isang nangungupahan tungkol sa kanilang pabahay sa isang awtoridad ng gobyerno.</w:t>
      </w:r>
    </w:p>
    <w:p w:rsidR="007E7E32" w:rsidRDefault="004128AB">
      <w:pPr>
        <w:pStyle w:val="BodyText"/>
        <w:numPr>
          <w:ilvl w:val="1"/>
          <w:numId w:val="1"/>
        </w:numPr>
        <w:tabs>
          <w:tab w:val="left" w:pos="1540"/>
        </w:tabs>
      </w:pPr>
      <w:r>
        <w:t>Hindi kasama ang paghahanap ng tulong mula sa mga pangkat ng komunidad</w:t>
      </w:r>
    </w:p>
    <w:p w:rsidR="007E7E32" w:rsidRDefault="004128AB">
      <w:pPr>
        <w:pStyle w:val="BodyText"/>
        <w:numPr>
          <w:ilvl w:val="1"/>
          <w:numId w:val="1"/>
        </w:numPr>
        <w:tabs>
          <w:tab w:val="left" w:pos="1540"/>
        </w:tabs>
      </w:pPr>
      <w:r>
        <w:t>Hindi kasama ang pag-abiso sa media</w:t>
      </w:r>
    </w:p>
    <w:p w:rsidR="007E7E32" w:rsidRDefault="004128AB">
      <w:pPr>
        <w:pStyle w:val="BodyText"/>
        <w:numPr>
          <w:ilvl w:val="1"/>
          <w:numId w:val="1"/>
        </w:numPr>
        <w:tabs>
          <w:tab w:val="left" w:pos="1540"/>
        </w:tabs>
      </w:pPr>
      <w:r>
        <w:t>Hindi kasama ang pagsali sa unyon ng nangungupahan</w:t>
      </w:r>
    </w:p>
    <w:p w:rsidR="007E7E32" w:rsidRDefault="004128AB">
      <w:pPr>
        <w:pStyle w:val="BodyText"/>
        <w:numPr>
          <w:ilvl w:val="0"/>
          <w:numId w:val="1"/>
        </w:numPr>
        <w:tabs>
          <w:tab w:val="left" w:pos="820"/>
        </w:tabs>
      </w:pPr>
      <w:r>
        <w:t>Ang paghihiganti ay mas mahirap na patunayan sa korte.</w:t>
      </w:r>
    </w:p>
    <w:p w:rsidR="007E7E32" w:rsidRDefault="004128AB">
      <w:pPr>
        <w:pStyle w:val="BodyText"/>
        <w:numPr>
          <w:ilvl w:val="0"/>
          <w:numId w:val="1"/>
        </w:numPr>
        <w:tabs>
          <w:tab w:val="left" w:pos="820"/>
        </w:tabs>
      </w:pPr>
      <w:r>
        <w:t xml:space="preserve">Kahit na mapatunayan mo ang paghihiganti sa korte, kakaunti ang mga posibleng parusa </w:t>
      </w:r>
      <w:r>
        <w:lastRenderedPageBreak/>
        <w:t>para sa may-ari.</w:t>
      </w:r>
    </w:p>
    <w:p w:rsidR="007E7E32" w:rsidRDefault="007E7E32">
      <w:pPr>
        <w:sectPr w:rsidR="007E7E32">
          <w:footerReference w:type="default" r:id="rId8"/>
          <w:type w:val="continuous"/>
          <w:pgSz w:w="12240" w:h="15840"/>
          <w:pgMar w:top="1400" w:right="1340" w:bottom="980" w:left="1340" w:header="720" w:footer="788" w:gutter="0"/>
          <w:pgNumType w:start="1"/>
          <w:cols w:space="720"/>
        </w:sectPr>
      </w:pPr>
    </w:p>
    <w:p w:rsidR="007E7E32" w:rsidRDefault="004128AB">
      <w:pPr>
        <w:pStyle w:val="Heading1"/>
        <w:spacing w:before="36"/>
        <w:rPr>
          <w:b w:val="0"/>
          <w:bCs w:val="0"/>
        </w:rPr>
      </w:pPr>
      <w:r>
        <w:lastRenderedPageBreak/>
        <w:t>Maaari kang mag-canvas sa inyong hindi CRLTO na gusali?</w:t>
      </w:r>
    </w:p>
    <w:p w:rsidR="007E7E32" w:rsidRDefault="004128AB">
      <w:pPr>
        <w:numPr>
          <w:ilvl w:val="0"/>
          <w:numId w:val="1"/>
        </w:numPr>
        <w:tabs>
          <w:tab w:val="left" w:pos="820"/>
        </w:tabs>
        <w:spacing w:before="201" w:line="286" w:lineRule="exact"/>
        <w:ind w:right="357"/>
        <w:rPr>
          <w:rFonts w:ascii="Calibri" w:eastAsia="Calibri" w:hAnsi="Calibri" w:cs="Calibri"/>
          <w:sz w:val="24"/>
          <w:szCs w:val="24"/>
        </w:rPr>
      </w:pPr>
      <w:r>
        <w:rPr>
          <w:rFonts w:ascii="Calibri" w:hAnsi="Calibri"/>
          <w:b/>
          <w:bCs/>
          <w:sz w:val="24"/>
          <w:szCs w:val="24"/>
        </w:rPr>
        <w:t>Kung hindi ipinagbabawal ng pagpapaupa ito,</w:t>
      </w:r>
      <w:r>
        <w:rPr>
          <w:rFonts w:ascii="Calibri" w:hAnsi="Calibri"/>
          <w:sz w:val="24"/>
          <w:szCs w:val="24"/>
        </w:rPr>
        <w:t xml:space="preserve"> marahil ay magagawa mo; huwag ka lang lumampas. </w:t>
      </w:r>
      <w:r>
        <w:rPr>
          <w:rFonts w:ascii="Calibri" w:hAnsi="Calibri"/>
          <w:sz w:val="24"/>
          <w:szCs w:val="24"/>
        </w:rPr>
        <w:t>Halimbawa, huwag kumatok sa mga pintuan ng mga tao nang maraming beses.</w:t>
      </w:r>
    </w:p>
    <w:p w:rsidR="007E7E32" w:rsidRDefault="004128AB">
      <w:pPr>
        <w:numPr>
          <w:ilvl w:val="0"/>
          <w:numId w:val="1"/>
        </w:numPr>
        <w:tabs>
          <w:tab w:val="left" w:pos="820"/>
        </w:tabs>
        <w:spacing w:before="209"/>
        <w:rPr>
          <w:rFonts w:ascii="Calibri" w:eastAsia="Calibri" w:hAnsi="Calibri" w:cs="Calibri"/>
          <w:sz w:val="24"/>
          <w:szCs w:val="24"/>
        </w:rPr>
      </w:pPr>
      <w:r>
        <w:rPr>
          <w:rFonts w:ascii="Calibri"/>
          <w:b/>
          <w:bCs/>
          <w:sz w:val="24"/>
        </w:rPr>
        <w:t>Kung ipinagbabawal NGA ito ng pag-upa,</w:t>
      </w:r>
      <w:r>
        <w:rPr>
          <w:rFonts w:ascii="Calibri"/>
          <w:sz w:val="24"/>
        </w:rPr>
        <w:t xml:space="preserve"> ang pag-canvass kung gayon ay makakapagpahamak sa iyo.</w:t>
      </w:r>
    </w:p>
    <w:p w:rsidR="007E7E32" w:rsidRDefault="004128AB">
      <w:pPr>
        <w:numPr>
          <w:ilvl w:val="0"/>
          <w:numId w:val="1"/>
        </w:numPr>
        <w:tabs>
          <w:tab w:val="left" w:pos="820"/>
        </w:tabs>
        <w:spacing w:before="201" w:line="286" w:lineRule="exact"/>
        <w:ind w:right="809"/>
        <w:rPr>
          <w:rFonts w:ascii="Calibri" w:eastAsia="Calibri" w:hAnsi="Calibri" w:cs="Calibri"/>
          <w:sz w:val="24"/>
          <w:szCs w:val="24"/>
        </w:rPr>
      </w:pPr>
      <w:r>
        <w:rPr>
          <w:rFonts w:ascii="Calibri"/>
          <w:b/>
          <w:bCs/>
          <w:sz w:val="24"/>
        </w:rPr>
        <w:t>Kung nakatira ka sa alinman sa mga sumusunod na uri ng pabahay na tinutulungan ng pederal,</w:t>
      </w:r>
      <w:r>
        <w:rPr>
          <w:rFonts w:ascii="Calibri"/>
          <w:sz w:val="24"/>
        </w:rPr>
        <w:t xml:space="preserve"> pinoprotektahan ng pederal na mga regulasyon ang iyong karapatan na ayusin ang iyong mga kapitbahay upang makabuo ng isang unyon ng nangungupahan:</w:t>
      </w:r>
    </w:p>
    <w:p w:rsidR="007E7E32" w:rsidRDefault="004128AB">
      <w:pPr>
        <w:pStyle w:val="BodyText"/>
        <w:numPr>
          <w:ilvl w:val="1"/>
          <w:numId w:val="1"/>
        </w:numPr>
        <w:tabs>
          <w:tab w:val="left" w:pos="1540"/>
        </w:tabs>
        <w:spacing w:before="209"/>
      </w:pPr>
      <w:r>
        <w:t>Mga gusali na nakaseguro sa pederal o may mortgage na hawak ng HUD</w:t>
      </w:r>
    </w:p>
    <w:p w:rsidR="007E7E32" w:rsidRDefault="004128AB">
      <w:pPr>
        <w:pStyle w:val="BodyText"/>
        <w:numPr>
          <w:ilvl w:val="1"/>
          <w:numId w:val="1"/>
        </w:numPr>
        <w:tabs>
          <w:tab w:val="left" w:pos="1540"/>
        </w:tabs>
        <w:spacing w:before="201" w:line="286" w:lineRule="exact"/>
        <w:ind w:right="188"/>
      </w:pPr>
      <w:r>
        <w:t>Mga gusali na pag-aari ng HUD ngunit ipin</w:t>
      </w:r>
      <w:r>
        <w:t>agbili sa kondisyon na pananatilihin ito ng mga may-ari para sa mga nangungupahan na mababa at katamtaman ang kita.</w:t>
      </w:r>
    </w:p>
    <w:p w:rsidR="007E7E32" w:rsidRDefault="004128AB">
      <w:pPr>
        <w:pStyle w:val="BodyText"/>
        <w:numPr>
          <w:ilvl w:val="1"/>
          <w:numId w:val="1"/>
        </w:numPr>
        <w:tabs>
          <w:tab w:val="left" w:pos="1540"/>
        </w:tabs>
        <w:spacing w:before="209" w:line="286" w:lineRule="exact"/>
        <w:ind w:right="584"/>
      </w:pPr>
      <w:r>
        <w:t>Mga proyekto na tumatanggap ng tulong o suporta sa upa sa pamamagitan ng estado at mga lokal na ahensya sa pananalapi</w:t>
      </w:r>
    </w:p>
    <w:p w:rsidR="007E7E32" w:rsidRDefault="004128AB">
      <w:pPr>
        <w:pStyle w:val="BodyText"/>
        <w:numPr>
          <w:ilvl w:val="1"/>
          <w:numId w:val="1"/>
        </w:numPr>
        <w:tabs>
          <w:tab w:val="left" w:pos="1540"/>
        </w:tabs>
        <w:spacing w:before="209"/>
      </w:pPr>
      <w:r>
        <w:t>Batay sa proyekto Seks</w:t>
      </w:r>
      <w:r>
        <w:t>yon 8 Pabahay</w:t>
      </w:r>
    </w:p>
    <w:p w:rsidR="007E7E32" w:rsidRDefault="004128AB">
      <w:pPr>
        <w:pStyle w:val="BodyText"/>
        <w:numPr>
          <w:ilvl w:val="1"/>
          <w:numId w:val="1"/>
        </w:numPr>
        <w:tabs>
          <w:tab w:val="left" w:pos="1540"/>
        </w:tabs>
        <w:spacing w:before="201" w:line="286" w:lineRule="exact"/>
        <w:ind w:right="107"/>
      </w:pPr>
      <w:r>
        <w:t>Mga proyekto na tumatanggap ng pinahusay na mga voucher, na tumutulong sa iyo na manatili sa iyong bahay pagkatapos na sumailalim ang inyong gusali sa isang kumbersiyon (hal. Tinatapos ng HUD ang isang kontrata sa tulong sa pag-upa sa pribado</w:t>
      </w:r>
      <w:r>
        <w:t>ng may-ari ng iyong gusali)</w:t>
      </w:r>
    </w:p>
    <w:p w:rsidR="007E7E32" w:rsidRDefault="004128AB">
      <w:pPr>
        <w:pStyle w:val="BodyText"/>
        <w:numPr>
          <w:ilvl w:val="1"/>
          <w:numId w:val="1"/>
        </w:numPr>
        <w:tabs>
          <w:tab w:val="left" w:pos="1540"/>
        </w:tabs>
        <w:spacing w:before="209" w:line="289" w:lineRule="exact"/>
      </w:pPr>
      <w:r>
        <w:t>Mga proyekto na tumatanggap ng tulong sa pederal upang makapagbigay ng pabahay para sa matatanda (Seksyon</w:t>
      </w:r>
    </w:p>
    <w:p w:rsidR="007E7E32" w:rsidRDefault="004128AB">
      <w:pPr>
        <w:pStyle w:val="BodyText"/>
        <w:spacing w:before="0" w:line="289" w:lineRule="exact"/>
        <w:ind w:left="1540" w:firstLine="0"/>
      </w:pPr>
      <w:r>
        <w:t>202) o sa may kapansanan (Seksyon 811)</w:t>
      </w:r>
    </w:p>
    <w:p w:rsidR="007E7E32" w:rsidRDefault="004128AB">
      <w:pPr>
        <w:numPr>
          <w:ilvl w:val="0"/>
          <w:numId w:val="1"/>
        </w:numPr>
        <w:tabs>
          <w:tab w:val="left" w:pos="820"/>
        </w:tabs>
        <w:spacing w:before="201" w:line="286" w:lineRule="exact"/>
        <w:ind w:right="1061"/>
        <w:rPr>
          <w:rFonts w:ascii="Calibri" w:eastAsia="Calibri" w:hAnsi="Calibri" w:cs="Calibri"/>
          <w:sz w:val="24"/>
          <w:szCs w:val="24"/>
        </w:rPr>
      </w:pPr>
      <w:r>
        <w:rPr>
          <w:rFonts w:ascii="Calibri"/>
          <w:b/>
          <w:bCs/>
          <w:sz w:val="24"/>
        </w:rPr>
        <w:t>Kung nakatira ka sa pampublikong pabahay,</w:t>
      </w:r>
      <w:r>
        <w:rPr>
          <w:rFonts w:ascii="Calibri"/>
          <w:sz w:val="24"/>
        </w:rPr>
        <w:t xml:space="preserve"> mayroon kang mga karapatan sa pag-aayos n</w:t>
      </w:r>
      <w:r>
        <w:rPr>
          <w:rFonts w:ascii="Calibri"/>
          <w:sz w:val="24"/>
        </w:rPr>
        <w:t>a may kaugnayan sa paghalal at paglahok sa mga konseho ng tirahan.</w:t>
      </w:r>
    </w:p>
    <w:p w:rsidR="007E7E32" w:rsidRDefault="004128AB">
      <w:pPr>
        <w:numPr>
          <w:ilvl w:val="0"/>
          <w:numId w:val="1"/>
        </w:numPr>
        <w:tabs>
          <w:tab w:val="left" w:pos="820"/>
        </w:tabs>
        <w:spacing w:before="209" w:line="286" w:lineRule="exact"/>
        <w:ind w:right="202"/>
        <w:rPr>
          <w:rFonts w:ascii="Calibri" w:eastAsia="Calibri" w:hAnsi="Calibri" w:cs="Calibri"/>
          <w:sz w:val="24"/>
          <w:szCs w:val="24"/>
        </w:rPr>
      </w:pPr>
      <w:r>
        <w:rPr>
          <w:rFonts w:ascii="Calibri"/>
          <w:b/>
          <w:bCs/>
          <w:sz w:val="24"/>
        </w:rPr>
        <w:t>Kung nakatira ka sa isang pabahay ng kooperatiba na non-profit na may  mortgage  ng pederal na hawak ng HUD,</w:t>
      </w:r>
      <w:r>
        <w:rPr>
          <w:rFonts w:ascii="Calibri"/>
          <w:sz w:val="24"/>
        </w:rPr>
        <w:t xml:space="preserve"> mayroon kang mga karapatan sa pag-aayos na may kaugnayan sa paghalal at pakikila</w:t>
      </w:r>
      <w:r>
        <w:rPr>
          <w:rFonts w:ascii="Calibri"/>
          <w:sz w:val="24"/>
        </w:rPr>
        <w:t>hok sa mga lupon of direktor.</w:t>
      </w:r>
    </w:p>
    <w:p w:rsidR="007E7E32" w:rsidRDefault="004128AB">
      <w:pPr>
        <w:numPr>
          <w:ilvl w:val="0"/>
          <w:numId w:val="1"/>
        </w:numPr>
        <w:tabs>
          <w:tab w:val="left" w:pos="820"/>
        </w:tabs>
        <w:spacing w:before="209" w:line="286" w:lineRule="exact"/>
        <w:ind w:right="667"/>
        <w:rPr>
          <w:rFonts w:ascii="Calibri" w:eastAsia="Calibri" w:hAnsi="Calibri" w:cs="Calibri"/>
          <w:sz w:val="24"/>
          <w:szCs w:val="24"/>
        </w:rPr>
      </w:pPr>
      <w:r>
        <w:rPr>
          <w:rFonts w:ascii="Calibri"/>
          <w:b/>
          <w:bCs/>
          <w:sz w:val="24"/>
        </w:rPr>
        <w:t>Kung ikaw ay isang may hawak ng Seksyon 8 na voucher na nakatira sa pribadong pabahay,</w:t>
      </w:r>
      <w:r>
        <w:rPr>
          <w:rFonts w:ascii="Calibri"/>
          <w:sz w:val="24"/>
        </w:rPr>
        <w:t xml:space="preserve"> mayroon kang parehong mga karapatan sa pag-aayos tulad ng ibang nasa gusali.</w:t>
      </w:r>
    </w:p>
    <w:p w:rsidR="007E7E32" w:rsidRDefault="004128AB">
      <w:pPr>
        <w:pStyle w:val="BodyText"/>
        <w:numPr>
          <w:ilvl w:val="1"/>
          <w:numId w:val="1"/>
        </w:numPr>
        <w:tabs>
          <w:tab w:val="left" w:pos="1540"/>
        </w:tabs>
        <w:spacing w:before="209" w:line="286" w:lineRule="exact"/>
        <w:ind w:right="190"/>
      </w:pPr>
      <w:r>
        <w:t xml:space="preserve">Suriin upang malaman kung sakop ng CRLTO ang inyong gusali. </w:t>
      </w:r>
      <w:r>
        <w:t>Kung hindi, suriin ang pagpapaupa upang malaman kung malinaw na ipinagbabawal ng may-ari ang door-to-door na pag-aayos.</w:t>
      </w:r>
    </w:p>
    <w:p w:rsidR="007E7E32" w:rsidRDefault="007E7E32">
      <w:pPr>
        <w:spacing w:line="240" w:lineRule="exact"/>
        <w:rPr>
          <w:sz w:val="24"/>
          <w:szCs w:val="24"/>
        </w:rPr>
      </w:pPr>
    </w:p>
    <w:p w:rsidR="007E7E32" w:rsidRDefault="007E7E32">
      <w:pPr>
        <w:spacing w:before="9" w:line="320" w:lineRule="exact"/>
        <w:rPr>
          <w:sz w:val="32"/>
          <w:szCs w:val="32"/>
        </w:rPr>
      </w:pPr>
    </w:p>
    <w:p w:rsidR="007E7E32" w:rsidRDefault="004128AB">
      <w:pPr>
        <w:spacing w:line="286" w:lineRule="exact"/>
        <w:ind w:left="100" w:right="223"/>
        <w:rPr>
          <w:rFonts w:ascii="Calibri" w:eastAsia="Calibri" w:hAnsi="Calibri" w:cs="Calibri"/>
          <w:sz w:val="24"/>
          <w:szCs w:val="24"/>
        </w:rPr>
      </w:pPr>
      <w:r>
        <w:rPr>
          <w:rFonts w:ascii="Calibri" w:hAnsi="Calibri"/>
          <w:b/>
          <w:bCs/>
          <w:sz w:val="24"/>
          <w:szCs w:val="24"/>
        </w:rPr>
        <w:t>Maaari mong "lunasan" ang isang 10-araw na paunawa ng pagpapalayas para sa canvassing,</w:t>
      </w:r>
      <w:r>
        <w:rPr>
          <w:rFonts w:ascii="Calibri" w:hAnsi="Calibri"/>
          <w:sz w:val="24"/>
          <w:szCs w:val="24"/>
        </w:rPr>
        <w:t xml:space="preserve"> KUNG mapahinto mo ang canvassing, hangga't itig</w:t>
      </w:r>
      <w:r>
        <w:rPr>
          <w:rFonts w:ascii="Calibri" w:hAnsi="Calibri"/>
          <w:sz w:val="24"/>
          <w:szCs w:val="24"/>
        </w:rPr>
        <w:t>il mo ang paggawa ng eksakto katulad ng iniaakusa sa iyo ng abiso sa pagpapalayas sa loob ng 10-araw.</w:t>
      </w:r>
    </w:p>
    <w:p w:rsidR="007E7E32" w:rsidRDefault="004128AB">
      <w:pPr>
        <w:pStyle w:val="BodyText"/>
        <w:numPr>
          <w:ilvl w:val="0"/>
          <w:numId w:val="1"/>
        </w:numPr>
        <w:tabs>
          <w:tab w:val="left" w:pos="820"/>
        </w:tabs>
        <w:spacing w:before="209" w:line="286" w:lineRule="exact"/>
        <w:ind w:right="199"/>
      </w:pPr>
      <w:r>
        <w:t>Hindi dapat magsampa ang may-ari ng isang kasong pagpapalayas matapos mong "lunasan" ang paunawa sa pagpapalayas. Ngunit kung nagpasya ang may-ari na ihab</w:t>
      </w:r>
      <w:r>
        <w:t>la ka pa rin sa korte, mayroon kang napakalakas na depensa.</w:t>
      </w:r>
    </w:p>
    <w:p w:rsidR="007E7E32" w:rsidRDefault="004128AB">
      <w:pPr>
        <w:pStyle w:val="BodyText"/>
        <w:numPr>
          <w:ilvl w:val="0"/>
          <w:numId w:val="1"/>
        </w:numPr>
        <w:tabs>
          <w:tab w:val="left" w:pos="820"/>
        </w:tabs>
        <w:spacing w:before="209" w:line="286" w:lineRule="exact"/>
        <w:ind w:right="105"/>
      </w:pPr>
      <w:r>
        <w:t>Ang mga nangungupahan na kumukuha ng ruta na ito ay dapat na idokumento ang "lunas.» Halimbawa, magpadala ng isang email sa may-ari na nagpapatunay na hindi ka na canvassing.</w:t>
      </w:r>
    </w:p>
    <w:sectPr w:rsidR="007E7E32">
      <w:pgSz w:w="12240" w:h="15840"/>
      <w:pgMar w:top="1400" w:right="1380" w:bottom="980" w:left="13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AB" w:rsidRDefault="004128AB">
      <w:r>
        <w:separator/>
      </w:r>
    </w:p>
  </w:endnote>
  <w:endnote w:type="continuationSeparator" w:id="0">
    <w:p w:rsidR="004128AB" w:rsidRDefault="0041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32" w:rsidRDefault="004128AB">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0.25pt;margin-top:741.6pt;width:10.1pt;height:13pt;z-index:-251658752;mso-position-horizontal-relative:page;mso-position-vertical-relative:page" filled="f" stroked="f">
          <v:textbox inset="0,0,0,0">
            <w:txbxContent>
              <w:p w:rsidR="007E7E32" w:rsidRDefault="004128AB">
                <w:pPr>
                  <w:spacing w:line="245" w:lineRule="exact"/>
                  <w:ind w:left="40"/>
                  <w:rPr>
                    <w:rFonts w:ascii="Arial" w:eastAsia="Arial" w:hAnsi="Arial" w:cs="Arial"/>
                  </w:rPr>
                </w:pPr>
                <w:r>
                  <w:fldChar w:fldCharType="begin"/>
                </w:r>
                <w:r>
                  <w:rPr>
                    <w:rFonts w:ascii="Arial"/>
                  </w:rPr>
                  <w:instrText xml:space="preserve"> PAGE </w:instrText>
                </w:r>
                <w:r>
                  <w:fldChar w:fldCharType="separate"/>
                </w:r>
                <w:r w:rsidR="00E00176">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AB" w:rsidRDefault="004128AB">
      <w:r>
        <w:separator/>
      </w:r>
    </w:p>
  </w:footnote>
  <w:footnote w:type="continuationSeparator" w:id="0">
    <w:p w:rsidR="004128AB" w:rsidRDefault="0041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9654E"/>
    <w:multiLevelType w:val="hybridMultilevel"/>
    <w:tmpl w:val="4CE8D662"/>
    <w:lvl w:ilvl="0" w:tplc="2E225C4C">
      <w:start w:val="1"/>
      <w:numFmt w:val="bullet"/>
      <w:lvlText w:val="●"/>
      <w:lvlJc w:val="left"/>
      <w:pPr>
        <w:ind w:left="820" w:hanging="360"/>
      </w:pPr>
      <w:rPr>
        <w:rFonts w:ascii="Arial" w:eastAsia="Arial" w:hAnsi="Arial" w:hint="default"/>
        <w:sz w:val="24"/>
        <w:szCs w:val="24"/>
      </w:rPr>
    </w:lvl>
    <w:lvl w:ilvl="1" w:tplc="6D6066DE">
      <w:start w:val="1"/>
      <w:numFmt w:val="bullet"/>
      <w:lvlText w:val="○"/>
      <w:lvlJc w:val="left"/>
      <w:pPr>
        <w:ind w:left="1540" w:hanging="360"/>
      </w:pPr>
      <w:rPr>
        <w:rFonts w:ascii="Arial" w:eastAsia="Arial" w:hAnsi="Arial" w:hint="default"/>
        <w:sz w:val="24"/>
        <w:szCs w:val="24"/>
      </w:rPr>
    </w:lvl>
    <w:lvl w:ilvl="2" w:tplc="EDB61038">
      <w:start w:val="1"/>
      <w:numFmt w:val="bullet"/>
      <w:lvlText w:val="•"/>
      <w:lvlJc w:val="left"/>
      <w:pPr>
        <w:ind w:left="2031" w:hanging="360"/>
      </w:pPr>
      <w:rPr>
        <w:rFonts w:hint="default"/>
      </w:rPr>
    </w:lvl>
    <w:lvl w:ilvl="3" w:tplc="9EDE495C">
      <w:start w:val="1"/>
      <w:numFmt w:val="bullet"/>
      <w:lvlText w:val="•"/>
      <w:lvlJc w:val="left"/>
      <w:pPr>
        <w:ind w:left="2967" w:hanging="360"/>
      </w:pPr>
      <w:rPr>
        <w:rFonts w:hint="default"/>
      </w:rPr>
    </w:lvl>
    <w:lvl w:ilvl="4" w:tplc="9DEAA3AC">
      <w:start w:val="1"/>
      <w:numFmt w:val="bullet"/>
      <w:lvlText w:val="•"/>
      <w:lvlJc w:val="left"/>
      <w:pPr>
        <w:ind w:left="3903" w:hanging="360"/>
      </w:pPr>
      <w:rPr>
        <w:rFonts w:hint="default"/>
      </w:rPr>
    </w:lvl>
    <w:lvl w:ilvl="5" w:tplc="A686CB20">
      <w:start w:val="1"/>
      <w:numFmt w:val="bullet"/>
      <w:lvlText w:val="•"/>
      <w:lvlJc w:val="left"/>
      <w:pPr>
        <w:ind w:left="4839" w:hanging="360"/>
      </w:pPr>
      <w:rPr>
        <w:rFonts w:hint="default"/>
      </w:rPr>
    </w:lvl>
    <w:lvl w:ilvl="6" w:tplc="3E525A2E">
      <w:start w:val="1"/>
      <w:numFmt w:val="bullet"/>
      <w:lvlText w:val="•"/>
      <w:lvlJc w:val="left"/>
      <w:pPr>
        <w:ind w:left="5775" w:hanging="360"/>
      </w:pPr>
      <w:rPr>
        <w:rFonts w:hint="default"/>
      </w:rPr>
    </w:lvl>
    <w:lvl w:ilvl="7" w:tplc="E8E2D666">
      <w:start w:val="1"/>
      <w:numFmt w:val="bullet"/>
      <w:lvlText w:val="•"/>
      <w:lvlJc w:val="left"/>
      <w:pPr>
        <w:ind w:left="6712" w:hanging="360"/>
      </w:pPr>
      <w:rPr>
        <w:rFonts w:hint="default"/>
      </w:rPr>
    </w:lvl>
    <w:lvl w:ilvl="8" w:tplc="7F58D276">
      <w:start w:val="1"/>
      <w:numFmt w:val="bullet"/>
      <w:lvlText w:val="•"/>
      <w:lvlJc w:val="left"/>
      <w:pPr>
        <w:ind w:left="76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7E32"/>
    <w:rsid w:val="004128AB"/>
    <w:rsid w:val="007E7E32"/>
    <w:rsid w:val="00E00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A98EA1-577F-45A3-BB6C-30ABE4EC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es-XL"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2"/>
      <w:ind w:left="82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K86HugJk71k7KmP6nLUqb873OmFLWiMhbWJc0OKM4Yg/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Diab</dc:creator>
  <cp:lastModifiedBy>Asmaa Diab</cp:lastModifiedBy>
  <cp:revision>3</cp:revision>
  <cp:lastPrinted>2020-05-12T00:02:00Z</cp:lastPrinted>
  <dcterms:created xsi:type="dcterms:W3CDTF">2020-05-07T00:42:00Z</dcterms:created>
  <dcterms:modified xsi:type="dcterms:W3CDTF">2020-05-12T00:03:00Z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2020-05-06T00:00:00Z</vt:filetime>
  </property>
</Properties>
</file>